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26-313</w:t>
      </w:r>
    </w:p>
    <w:p>
      <w:pPr>
        <w:spacing w:before="0" w:after="0" w:line="480"/>
        <w:ind w:left="120"/>
        <w:jc w:val="left"/>
      </w:pPr>
    </w:p>
    <w:p>
      <w:pPr>
        <w:spacing w:before="0" w:after="0" w:line="480"/>
        <w:ind w:left="120"/>
        <w:jc w:val="center"/>
      </w:pPr>
      <w:r>
        <w:rPr>
          <w:rFonts w:ascii="Times New Roman" w:hAnsi="Times New Roman"/>
          <w:b/>
          <w:i w:val="false"/>
          <w:color w:val="000000"/>
          <w:sz w:val="28"/>
        </w:rPr>
        <w:t>ENVIRONMENTAL PROTECTION COMMISSION[567]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rule 567—60.13(455B)</w:t>
      </w:r>
    </w:p>
    <w:p>
      <w:pPr>
        <w:spacing w:before="0" w:after="0" w:line="480"/>
        <w:ind w:left="120"/>
        <w:jc w:val="center"/>
      </w:pPr>
      <w:r>
        <w:rPr>
          <w:rFonts w:ascii="Times New Roman" w:hAnsi="Times New Roman"/>
          <w:b w:val="false"/>
          <w:i w:val="false"/>
          <w:color w:val="000000"/>
          <w:sz w:val="24"/>
        </w:rPr>
        <w:t>“General Permits Issued by the Department”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455B.103A, 455B.105, 455B.173, and 455B.198</w:t>
      </w:r>
    </w:p>
    <w:p>
      <w:pPr>
        <w:spacing w:before="0" w:after="0" w:line="480"/>
        <w:ind w:left="120"/>
        <w:jc w:val="both"/>
      </w:pPr>
      <w:r>
        <w:rPr>
          <w:rFonts w:ascii="Times New Roman" w:hAnsi="Times New Roman"/>
          <w:b w:val="false"/>
          <w:i w:val="false"/>
          <w:color w:val="000000"/>
          <w:sz w:val="24"/>
        </w:rPr>
        <w:t>State or federal law(s) implemented by the rulemaking: Clean Water Act §402(b); 40 CFR Part 122; 40 CFR §123.25; and Iowa Code sections 455B.103A, 455B.105, 455B.173, 455B.197, and 455B.198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23, 2026</w:t>
            </w:r>
            <w:r>
              <w:br/>
            </w:r>
            <w:r>
              <w:rPr>
                <w:rFonts w:ascii="Times New Roman" w:hAnsi="Times New Roman"/>
                <w:b w:val="false"/>
                <w:i w:val="false"/>
                <w:color w:val="000000"/>
                <w:sz w:val="14"/>
              </w:rPr>
              <w:t>11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r>
              <w:rPr>
                <w:rFonts w:ascii="Times New Roman" w:hAnsi="Times New Roman"/>
                <w:b w:val="false"/>
                <w:i w:val="false"/>
                <w:color w:val="000000"/>
                <w:sz w:val="14"/>
              </w:rPr>
              <w:t xml:space="preserve">Information on virtual participation can be found at </w:t>
            </w:r>
            <w:hyperlink r:id="rId4">
              <w:r>
                <w:rPr>
                  <w:rStyle w:val="Hyperlink"/>
                  <w:rFonts w:ascii="Times New Roman" w:hAnsi="Times New Roman"/>
                  <w:b w:val="false"/>
                  <w:i w:val="false"/>
                  <w:color w:val="0000ff"/>
                  <w:sz w:val="14"/>
                </w:rPr>
                <w:t>www.iowadnr.gov/environmental-protection/water-quality/wqb-rulemaking</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of Natural Resources (Department) at </w:t>
      </w:r>
      <w:hyperlink r:id="rId5">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515.360.1671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6">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515.360.1671 al menos siete días antes del evento.</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5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Courtney Cswercko</w:t>
            </w:r>
            <w:r>
              <w:br/>
            </w:r>
            <w:r>
              <w:rPr>
                <w:rFonts w:ascii="Times New Roman" w:hAnsi="Times New Roman"/>
                <w:b w:val="false"/>
                <w:i w:val="false"/>
                <w:color w:val="000000"/>
                <w:sz w:val="14"/>
              </w:rPr>
              <w:t>Iowa Department of Natural Resources</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7">
              <w:r>
                <w:rPr>
                  <w:rStyle w:val="Hyperlink"/>
                  <w:rFonts w:ascii="Times New Roman" w:hAnsi="Times New Roman"/>
                  <w:b w:val="false"/>
                  <w:i w:val="false"/>
                  <w:color w:val="0000ff"/>
                  <w:sz w:val="14"/>
                </w:rPr>
                <w:t>npdes.mail@dnr.iowa.gov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8">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9">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amendment renews nine National Pollutant Discharge Elimination System (NPDES) and State operation general permits (GPs), which are referenced in Chapter 60. The GPs being renewed are for stormwater (GPs 1, 2, and 3); private sewage disposal systems (GP 4); mining and quarries (GP 5); well construction and well service activities (GP 6); point source discharges from pesticide application (GP 7); discharges from hydrostatic testing, tank ballasting and water lines (GP 8); and discharges from dewatering and residential geothermal systems (GP 9). GPs 1, 2, 3, and 4 will expire on February 29, 2028, and GPs 5, 6, 7, 8, and 9 will expire on June 30, 2028. GPs are required by law to be adopted through rulemaking. The new effective dates for GPs 1, 2, 3, and 4 will be March 1, 2028, through February 28, 2033. The new effective dates for GPs 5, 6, 7, 8, and 9 will be July 1, 2028, through June 30, 2033.</w:t>
      </w:r>
    </w:p>
    <w:p>
      <w:pPr>
        <w:spacing w:before="0" w:after="0" w:line="480"/>
        <w:ind w:left="120"/>
        <w:jc w:val="both"/>
      </w:pPr>
      <w:r>
        <w:rPr>
          <w:rFonts w:ascii="Times New Roman" w:hAnsi="Times New Roman"/>
          <w:b w:val="false"/>
          <w:i w:val="false"/>
          <w:color w:val="000000"/>
          <w:sz w:val="24"/>
        </w:rPr>
        <w:t>    GPs authorize certain types or classes of facilities to discharge without having to obtain an individual NPDES or operation permit. GPs benefit the regulated community by shortening the time needed to obtain discharge authorization and reducing costs compared to individual permits, which have more complicated application requirements, take several months to obtain, and have additional annual fees. Failure to renew these GPs would have a far-reaching negative impact on current permittees. Because of the additional requirements and time constraints, it is not practical to issue individual permits to permittees covered by these GPs.</w:t>
      </w:r>
    </w:p>
    <w:p>
      <w:pPr>
        <w:spacing w:before="0" w:after="0" w:line="480"/>
        <w:ind w:left="120"/>
        <w:jc w:val="both"/>
      </w:pPr>
      <w:r>
        <w:rPr>
          <w:rFonts w:ascii="Times New Roman" w:hAnsi="Times New Roman"/>
          <w:b w:val="false"/>
          <w:i w:val="false"/>
          <w:color w:val="000000"/>
          <w:sz w:val="24"/>
        </w:rPr>
        <w:t xml:space="preserve">    The proposed GPs can be viewed in full at </w:t>
      </w:r>
      <w:hyperlink r:id="rId10">
        <w:r>
          <w:rPr>
            <w:rStyle w:val="Hyperlink"/>
            <w:rFonts w:ascii="Times New Roman" w:hAnsi="Times New Roman"/>
            <w:b w:val="false"/>
            <w:i w:val="false"/>
            <w:color w:val="0000ff"/>
            <w:sz w:val="24"/>
          </w:rPr>
          <w:t>www.iowadnr.gov/environmental-protection/water-quality/wqb-rulemaking</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The majority of the revisions being proposed to the nine GPs in this renewal are to 1) simplify and clarify the permit language; 2) update rule references and language in the GPs that were changed as part of the Executive Order 10 rulemakings; 3) standardize the language across the GPs, particularly the language requiring an individual permit and the GP standard conditions; 4) replace the current hazardous condition language in the GPs with the correct release reporting, 24-hour reporting, and other noncompliance language that is applicable to NPDES permits; and 5) clarify electronic reporting requirements. There are no additional substantive revisions to GPs 1, 3, 6, 7, 8, and 9. Additional revisions to GPs 2, 4, and 5 are discussed below.</w:t>
      </w:r>
    </w:p>
    <w:p>
      <w:pPr>
        <w:spacing w:before="0" w:after="0" w:line="480"/>
        <w:ind w:left="120"/>
        <w:jc w:val="both"/>
      </w:pPr>
      <w:r>
        <w:rPr>
          <w:rFonts w:ascii="Times New Roman" w:hAnsi="Times New Roman"/>
          <w:b w:val="false"/>
          <w:i w:val="false"/>
          <w:color w:val="000000"/>
          <w:sz w:val="24"/>
        </w:rPr>
        <w:t>    The proposed revisions to GP 2 for stormwater discharge associated with construction activities include the addition of language allowing coverage for new or expanded discharges to Outstanding Iowa Waters (OIWs). These discharges are currently not eligible for coverage under GP 2, resulting in an extended period to obtain permit coverage. Applicants wishing to discharge to an OIW must submit an individual permit application at least six months prior to the expected discharge, and the Department must then draft and issue an individual NPDES permit (when appropriate), which can take up to four months. Because the resulting individual NPDES permits contain the same requirements as GP 2, this places an undue burden on permittees and the Department. In lieu of submitting an individual permit application, the new language in GP 2 requires an applicant to submit a stormwater pollution prevention plan (SWPPP) with a Notice of Intent (NOI, or application) for coverage under GP 2. The SWPPP for a discharge to an OIW must demonstrate how the permittee will design, install, and maintain best management practices (BMPs) on the construction site to protect and maintain water quality adequate to fully protect the existing uses of the OIW. Discharges to OIWs shall only be authorized under GP 2 upon Department receipt and approval of an SWPPP. This proposed change to GP 2 will remove the burden of obtaining an individual NPDES permit from the applicants and will allow proposed discharges to OIWs to be covered under GP 2 in a timely manner while continuing to maintain and protect the water quality of OIWs in Iowa.</w:t>
      </w:r>
    </w:p>
    <w:p>
      <w:pPr>
        <w:spacing w:before="0" w:after="0" w:line="480"/>
        <w:ind w:left="120"/>
        <w:jc w:val="both"/>
      </w:pPr>
      <w:r>
        <w:rPr>
          <w:rFonts w:ascii="Times New Roman" w:hAnsi="Times New Roman"/>
          <w:b w:val="false"/>
          <w:i w:val="false"/>
          <w:color w:val="000000"/>
          <w:sz w:val="24"/>
        </w:rPr>
        <w:t xml:space="preserve">    The proposed revisions to GP 4 for private sewage disposal systems (PSDSs) include the simplification of the effluent limits. Currently, GP 4 contains two </w:t>
      </w:r>
      <w:r>
        <w:rPr>
          <w:rFonts w:ascii="Times New Roman" w:hAnsi="Times New Roman"/>
          <w:b w:val="false"/>
          <w:i/>
          <w:color w:val="000000"/>
          <w:sz w:val="24"/>
        </w:rPr>
        <w:t>Escherichia coli (E. coli)</w:t>
      </w:r>
      <w:r>
        <w:rPr>
          <w:rFonts w:ascii="Times New Roman" w:hAnsi="Times New Roman"/>
          <w:b w:val="false"/>
          <w:i w:val="false"/>
          <w:color w:val="000000"/>
          <w:sz w:val="24"/>
        </w:rPr>
        <w:t xml:space="preserve"> effluent limits: one for waters designated either as Class A1—primary contact recreational use or Class A3—children’s recreational use, and one for waters designated as Class A2—secondary contact recreational use. The proposed revisions remove the less stringent </w:t>
      </w:r>
      <w:r>
        <w:rPr>
          <w:rFonts w:ascii="Times New Roman" w:hAnsi="Times New Roman"/>
          <w:b w:val="false"/>
          <w:i/>
          <w:color w:val="000000"/>
          <w:sz w:val="24"/>
        </w:rPr>
        <w:t>E. coli</w:t>
      </w:r>
      <w:r>
        <w:rPr>
          <w:rFonts w:ascii="Times New Roman" w:hAnsi="Times New Roman"/>
          <w:b w:val="false"/>
          <w:i w:val="false"/>
          <w:color w:val="000000"/>
          <w:sz w:val="24"/>
        </w:rPr>
        <w:t xml:space="preserve"> effluent limitation for Class A2 waters so that all permitted discharging PSDSs have one set of effluent limits (the current limits for Class A1 and A3 waters). This simplification of the effluent limits will maintain the protections for recreational-use waters and will not result in more stringent requirements for permittees who discharge to Class A2 streams, since any PSDS capable of meeting the existing Class A2 </w:t>
      </w:r>
      <w:r>
        <w:rPr>
          <w:rFonts w:ascii="Times New Roman" w:hAnsi="Times New Roman"/>
          <w:b w:val="false"/>
          <w:i/>
          <w:color w:val="000000"/>
          <w:sz w:val="24"/>
        </w:rPr>
        <w:t>E. coli</w:t>
      </w:r>
      <w:r>
        <w:rPr>
          <w:rFonts w:ascii="Times New Roman" w:hAnsi="Times New Roman"/>
          <w:b w:val="false"/>
          <w:i w:val="false"/>
          <w:color w:val="000000"/>
          <w:sz w:val="24"/>
        </w:rPr>
        <w:t xml:space="preserve"> effluent limitation already meets the Class A1 and Class A3 limitation.</w:t>
      </w:r>
    </w:p>
    <w:p>
      <w:pPr>
        <w:spacing w:before="0" w:after="0" w:line="480"/>
        <w:ind w:left="120"/>
        <w:jc w:val="both"/>
      </w:pPr>
      <w:r>
        <w:rPr>
          <w:rFonts w:ascii="Times New Roman" w:hAnsi="Times New Roman"/>
          <w:b w:val="false"/>
          <w:i w:val="false"/>
          <w:color w:val="000000"/>
          <w:sz w:val="24"/>
        </w:rPr>
        <w:t>    The proposed revisions to GP 5 for mining and quarries include the addition of effluent limitations and monitoring for discharges to cold water streams (those designated as Class B(CW1) or Class B(CW2) in the Department’s Surface Water Classifications document, as referenced in 567—Chapter 61). These new effluent limitations have been added to maintain and protect the water quality of public trout stream fisheries in northeast Iowa. There are currently only two permittees covered by GP 5 that would be affected by the addition of these effluent limits, so this addition will have a negligible effect on permittees while ensuring future protections for cold water streams in Iowa.</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Permittees currently covered by these GPs will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Citizens of Iowa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proposed change in effluent limitations for GP 5 will result in a change in costs for mines and quarries who discharge to cold water streams. These dischargers will have the option to seek coverage under the revised GP 5 and incur a one-time cost of approximately $1,000 for additional monitoring equipment. They may also seek coverage under an individual NPDES permit, for which they would incur the same one-time cost of $1,000 for monitoring equipment and an additional cost for the annual permit fee, which is $1,000 more than the existing five-year GP 5 permit fee. These additional costs (approximately $1,000 for GP 5 coverage or $2,000 for individual permit coverage) will only be borne by a very small number of permittees.</w:t>
      </w:r>
    </w:p>
    <w:p>
      <w:pPr>
        <w:spacing w:before="0" w:after="0" w:line="480"/>
        <w:ind w:left="120"/>
        <w:jc w:val="both"/>
      </w:pPr>
      <w:r>
        <w:rPr>
          <w:rFonts w:ascii="Times New Roman" w:hAnsi="Times New Roman"/>
          <w:b w:val="false"/>
          <w:i w:val="false"/>
          <w:color w:val="000000"/>
          <w:sz w:val="24"/>
        </w:rPr>
        <w:t>Quantitative costs cannot be determined for the other proposed revisions to the nine GPs. However, the activities required of the permittees that result in various costs are described below.</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Permittees authorized to discharge under the nine NPDES GPs incur costs related to the operation of treatment plants, the monitoring and reporting of pollutants, and recordkeeping. The costs of complying with the NPDES GPs vary by the type of facility process, quantity and type of pollutants discharged, number of point sources, and pollutant capacity of the receiving stream. The Department’s existing GP fees for GPs 1, 2, 3, and 5 are listed in Iowa Code section 455B.197. There are no fees associated with GPs 4, 6, 7, 8, and 9.</w:t>
      </w:r>
    </w:p>
    <w:p>
      <w:pPr>
        <w:spacing w:before="0" w:after="0" w:line="480"/>
        <w:ind w:left="120"/>
        <w:jc w:val="both"/>
      </w:pPr>
      <w:r>
        <w:rPr>
          <w:rFonts w:ascii="Times New Roman" w:hAnsi="Times New Roman"/>
          <w:b w:val="false"/>
          <w:i w:val="false"/>
          <w:color w:val="000000"/>
          <w:sz w:val="24"/>
        </w:rPr>
        <w:t>The proposed change in the coverage for discharges to OIW streams under GP 2 will not result in increased costs for permittees since the preparation and submittal of an SWPPP and an NOI is comparable to the preparation and submittal of an individual permit application. The proposed change in effluent limitations for GP 4 will not result in increased costs for permittees since there is no change to the design or monitoring requirements for PSDSs.</w:t>
      </w:r>
    </w:p>
    <w:p>
      <w:pPr>
        <w:spacing w:before="0" w:after="0" w:line="480"/>
        <w:ind w:left="120"/>
        <w:jc w:val="both"/>
      </w:pPr>
      <w:r>
        <w:rPr>
          <w:rFonts w:ascii="Times New Roman" w:hAnsi="Times New Roman"/>
          <w:b w:val="false"/>
          <w:i w:val="false"/>
          <w:color w:val="000000"/>
          <w:sz w:val="24"/>
        </w:rPr>
        <w:t>With the exception of the costs associated with the proposed addition of effluent limits for discharges to cold water streams in GP 5, the proposed renewals of Iowa’s nine NPDES and State operation GPs will not change the costs incurred by obtaining or maintaining coverage under these GPs.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Since these are renewals of existing permits, there are no anticipated implementation or enforcement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No effect on State revenues is anticipated.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 the absence of effluent limits for discharges to cold water streams in GP 5, mines and quarries that discharge to cold water streams would no longer qualify for coverage under GP 5 and would be required to obtain coverage under an individual NPDES permit. These dischargers would still incur the one-time cost of approximately $1,000 for additional monitoring equipment (the approximate additional cost for these dischargers under the revised GP 5), in addition to the increased annual individual permit fee cost of $1,000 over five years. This minimal cost to dischargers, either for GP 5 coverage or individual permit coverage, is offset by the increased protections for cold water streams, which can be quantified as revenues generated by trout fishing. The estimated total valuation for trip-related expenditures to cold water trout streams, using an average trip expenditure of $35, is $13.5 million annually.</w:t>
      </w:r>
    </w:p>
    <w:p>
      <w:pPr>
        <w:spacing w:before="0" w:after="0" w:line="480"/>
        <w:ind w:left="120"/>
        <w:jc w:val="both"/>
      </w:pPr>
      <w:r>
        <w:rPr>
          <w:rFonts w:ascii="Times New Roman" w:hAnsi="Times New Roman"/>
          <w:b w:val="false"/>
          <w:i w:val="false"/>
          <w:color w:val="000000"/>
          <w:sz w:val="24"/>
        </w:rPr>
        <w:t>If the nine NPDES and State operation GPs are not renewed in this proposed rulemaking, the permittees authorized to discharge under the GPs will be required to obtain individual NPDES or State operation permits. There are currently 7,300 permittees authorized under GPs 1, 2, 3, 4, 5, 8, and 9. GPs 6 and 7 do not require the submittal of NOIs, and GPs 8 and 9 only require NOIs for a small subset of discharges, but there are a few thousand more dischargers authorized under GPs 6, 7, 8, and 9. If the GPs are not renewed, all of these permittees would be required to submit individual applications, and the Department would be required to review the applications and issue individual permits.</w:t>
      </w:r>
    </w:p>
    <w:p>
      <w:pPr>
        <w:spacing w:before="0" w:after="0" w:line="480"/>
        <w:ind w:left="120"/>
        <w:jc w:val="both"/>
      </w:pPr>
      <w:r>
        <w:rPr>
          <w:rFonts w:ascii="Times New Roman" w:hAnsi="Times New Roman"/>
          <w:b w:val="false"/>
          <w:i w:val="false"/>
          <w:color w:val="000000"/>
          <w:sz w:val="24"/>
        </w:rPr>
        <w:t>For these reasons, the Department is proposing this rulemaking to renew the nine NPDES and State operation GPs.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intrusive methods to accomplish the benefit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nine NPDES and State operation GPs implement a streamlined, less-costly application and authorization process for thousands of Iowans when compared to the requirements and costs of obtaining an individual permit. The proposed renewal of and revisions to the nine GPs will protect water quality in Iowa and maintain the expediency of the GPs.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Small businesses cannot be exempted from NPDES permitting. Small businesses benefit from the streamlined NPDES GPs since these permits provide faster coverage compared to individual permits. In addition, the proposed revisions to the GPs will enhance their clarity so all permittees will be able to easily move through the permitting process.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567—60.13(455B)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567—60.13</w:t>
      </w:r>
      <w:r>
        <w:rPr>
          <w:rFonts w:ascii="Times New Roman" w:hAnsi="Times New Roman"/>
          <w:b/>
          <w:i w:val="false"/>
          <w:color w:val="000000"/>
          <w:sz w:val="24"/>
        </w:rPr>
        <w:t xml:space="preserve">(455B) </w:t>
      </w:r>
      <w:r>
        <w:rPr>
          <w:rFonts w:ascii="Times New Roman" w:hAnsi="Times New Roman"/>
          <w:b/>
          <w:i w:val="false"/>
          <w:color w:val="000000"/>
          <w:sz w:val="24"/>
        </w:rPr>
        <w:t xml:space="preserve">General permits (GPs) issued by the department. </w:t>
      </w:r>
      <w:r>
        <w:rPr>
          <w:rFonts w:ascii="Times New Roman" w:hAnsi="Times New Roman"/>
          <w:b w:val="false"/>
          <w:i w:val="false"/>
          <w:color w:val="000000"/>
          <w:sz w:val="24"/>
        </w:rPr>
        <w:t xml:space="preserve">The following is a list of GPs adopted by the department through the Administrative Procedure Act, Iowa Code chapter </w:t>
      </w:r>
      <w:hyperlink r:id="rId11">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and the term of each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60.13(1)</w:t>
      </w:r>
      <w:r>
        <w:rPr>
          <w:rFonts w:ascii="Times New Roman" w:hAnsi="Times New Roman"/>
          <w:b w:val="false"/>
          <w:i w:val="false"/>
          <w:color w:val="000000"/>
          <w:sz w:val="24"/>
        </w:rPr>
        <w:t> </w:t>
      </w:r>
      <w:r>
        <w:rPr>
          <w:rFonts w:ascii="Times New Roman" w:hAnsi="Times New Roman"/>
          <w:b w:val="false"/>
          <w:i w:val="false"/>
          <w:color w:val="000000"/>
          <w:sz w:val="24"/>
        </w:rPr>
        <w:t>“</w:t>
      </w:r>
      <w:r>
        <w:rPr>
          <w:rFonts w:ascii="Times New Roman" w:hAnsi="Times New Roman"/>
          <w:b w:val="false"/>
          <w:i w:val="false"/>
          <w:strike/>
          <w:color w:val="000000"/>
          <w:sz w:val="24"/>
        </w:rPr>
        <w:t>Storm Water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Stormwater</w:t>
      </w:r>
      <w:r>
        <w:rPr>
          <w:rFonts w:ascii="Times New Roman" w:hAnsi="Times New Roman"/>
          <w:b w:val="false"/>
          <w:i w:val="false"/>
          <w:color w:val="000000"/>
          <w:sz w:val="24"/>
        </w:rPr>
        <w:t xml:space="preserve"> Discharge Associated with Industrial Activity,” NPDES General Permit No. 1, effective March 1, </w:t>
      </w:r>
      <w:r>
        <w:rPr>
          <w:rFonts w:ascii="Times New Roman" w:hAnsi="Times New Roman"/>
          <w:b w:val="false"/>
          <w:i w:val="false"/>
          <w:strike/>
          <w:color w:val="000000"/>
          <w:sz w:val="24"/>
        </w:rPr>
        <w:t>2023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2028</w:t>
      </w:r>
      <w:r>
        <w:rPr>
          <w:rFonts w:ascii="Times New Roman" w:hAnsi="Times New Roman"/>
          <w:b w:val="false"/>
          <w:i w:val="false"/>
          <w:color w:val="000000"/>
          <w:sz w:val="24"/>
        </w:rPr>
        <w:t xml:space="preserve">, to February </w:t>
      </w:r>
      <w:r>
        <w:rPr>
          <w:rFonts w:ascii="Times New Roman" w:hAnsi="Times New Roman"/>
          <w:b w:val="false"/>
          <w:i w:val="false"/>
          <w:strike/>
          <w:color w:val="000000"/>
          <w:sz w:val="24"/>
        </w:rPr>
        <w:t>29, 2028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28, 2033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60.13(2)</w:t>
      </w:r>
      <w:r>
        <w:rPr>
          <w:rFonts w:ascii="Times New Roman" w:hAnsi="Times New Roman"/>
          <w:b w:val="false"/>
          <w:i w:val="false"/>
          <w:color w:val="000000"/>
          <w:sz w:val="24"/>
        </w:rPr>
        <w:t> </w:t>
      </w:r>
      <w:r>
        <w:rPr>
          <w:rFonts w:ascii="Times New Roman" w:hAnsi="Times New Roman"/>
          <w:b w:val="false"/>
          <w:i w:val="false"/>
          <w:color w:val="000000"/>
          <w:sz w:val="24"/>
        </w:rPr>
        <w:t>“</w:t>
      </w:r>
      <w:r>
        <w:rPr>
          <w:rFonts w:ascii="Times New Roman" w:hAnsi="Times New Roman"/>
          <w:b w:val="false"/>
          <w:i w:val="false"/>
          <w:strike/>
          <w:color w:val="000000"/>
          <w:sz w:val="24"/>
        </w:rPr>
        <w:t>Storm Water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Stormwater</w:t>
      </w:r>
      <w:r>
        <w:rPr>
          <w:rFonts w:ascii="Times New Roman" w:hAnsi="Times New Roman"/>
          <w:b w:val="false"/>
          <w:i w:val="false"/>
          <w:color w:val="000000"/>
          <w:sz w:val="24"/>
        </w:rPr>
        <w:t xml:space="preserve"> Discharge Associated with Industrial Activity for Construction Activities,” NPDES General Permit No. 2, effective March 1, </w:t>
      </w:r>
      <w:r>
        <w:rPr>
          <w:rFonts w:ascii="Times New Roman" w:hAnsi="Times New Roman"/>
          <w:b w:val="false"/>
          <w:i w:val="false"/>
          <w:strike/>
          <w:color w:val="000000"/>
          <w:sz w:val="24"/>
        </w:rPr>
        <w:t>2023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2028</w:t>
      </w:r>
      <w:r>
        <w:rPr>
          <w:rFonts w:ascii="Times New Roman" w:hAnsi="Times New Roman"/>
          <w:b w:val="false"/>
          <w:i w:val="false"/>
          <w:color w:val="000000"/>
          <w:sz w:val="24"/>
        </w:rPr>
        <w:t xml:space="preserve">, to February </w:t>
      </w:r>
      <w:r>
        <w:rPr>
          <w:rFonts w:ascii="Times New Roman" w:hAnsi="Times New Roman"/>
          <w:b w:val="false"/>
          <w:i w:val="false"/>
          <w:strike/>
          <w:color w:val="000000"/>
          <w:sz w:val="24"/>
        </w:rPr>
        <w:t>29, 2028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28, 2033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60.13(3)</w:t>
      </w:r>
      <w:r>
        <w:rPr>
          <w:rFonts w:ascii="Times New Roman" w:hAnsi="Times New Roman"/>
          <w:b w:val="false"/>
          <w:i w:val="false"/>
          <w:color w:val="000000"/>
          <w:sz w:val="24"/>
        </w:rPr>
        <w:t> </w:t>
      </w:r>
      <w:r>
        <w:rPr>
          <w:rFonts w:ascii="Times New Roman" w:hAnsi="Times New Roman"/>
          <w:b w:val="false"/>
          <w:i w:val="false"/>
          <w:color w:val="000000"/>
          <w:sz w:val="24"/>
        </w:rPr>
        <w:t>“</w:t>
      </w:r>
      <w:r>
        <w:rPr>
          <w:rFonts w:ascii="Times New Roman" w:hAnsi="Times New Roman"/>
          <w:b w:val="false"/>
          <w:i w:val="false"/>
          <w:strike/>
          <w:color w:val="000000"/>
          <w:sz w:val="24"/>
        </w:rPr>
        <w:t>Storm Water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Stormwater</w:t>
      </w:r>
      <w:r>
        <w:rPr>
          <w:rFonts w:ascii="Times New Roman" w:hAnsi="Times New Roman"/>
          <w:b w:val="false"/>
          <w:i w:val="false"/>
          <w:color w:val="000000"/>
          <w:sz w:val="24"/>
        </w:rPr>
        <w:t xml:space="preserve"> Discharge Associated with Industrial Activity from Asphalt Plants, Concrete Batch Plants, Rock Crushing Plants, and Construction Sand and Gravel Facilities,” NPDES General Permit No. 3, effective March 1, </w:t>
      </w:r>
      <w:r>
        <w:rPr>
          <w:rFonts w:ascii="Times New Roman" w:hAnsi="Times New Roman"/>
          <w:b w:val="false"/>
          <w:i w:val="false"/>
          <w:strike/>
          <w:color w:val="000000"/>
          <w:sz w:val="24"/>
        </w:rPr>
        <w:t>2023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2028</w:t>
      </w:r>
      <w:r>
        <w:rPr>
          <w:rFonts w:ascii="Times New Roman" w:hAnsi="Times New Roman"/>
          <w:b w:val="false"/>
          <w:i w:val="false"/>
          <w:color w:val="000000"/>
          <w:sz w:val="24"/>
        </w:rPr>
        <w:t xml:space="preserve">, to February </w:t>
      </w:r>
      <w:r>
        <w:rPr>
          <w:rFonts w:ascii="Times New Roman" w:hAnsi="Times New Roman"/>
          <w:b w:val="false"/>
          <w:i w:val="false"/>
          <w:strike/>
          <w:color w:val="000000"/>
          <w:sz w:val="24"/>
        </w:rPr>
        <w:t>29, 2028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28, 2033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60.13(4)</w:t>
      </w:r>
      <w:r>
        <w:rPr>
          <w:rFonts w:ascii="Times New Roman" w:hAnsi="Times New Roman"/>
          <w:b w:val="false"/>
          <w:i w:val="false"/>
          <w:color w:val="000000"/>
          <w:sz w:val="24"/>
        </w:rPr>
        <w:t> </w:t>
      </w:r>
      <w:r>
        <w:rPr>
          <w:rFonts w:ascii="Times New Roman" w:hAnsi="Times New Roman"/>
          <w:b w:val="false"/>
          <w:i w:val="false"/>
          <w:color w:val="000000"/>
          <w:sz w:val="24"/>
        </w:rPr>
        <w:t xml:space="preserve">“Discharge from Private Sewage Disposal Systems,” NPDES General Permit No. 4, effective March 1, </w:t>
      </w:r>
      <w:r>
        <w:rPr>
          <w:rFonts w:ascii="Times New Roman" w:hAnsi="Times New Roman"/>
          <w:b w:val="false"/>
          <w:i w:val="false"/>
          <w:strike/>
          <w:color w:val="000000"/>
          <w:sz w:val="24"/>
        </w:rPr>
        <w:t>2023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2028</w:t>
      </w:r>
      <w:r>
        <w:rPr>
          <w:rFonts w:ascii="Times New Roman" w:hAnsi="Times New Roman"/>
          <w:b w:val="false"/>
          <w:i w:val="false"/>
          <w:color w:val="000000"/>
          <w:sz w:val="24"/>
        </w:rPr>
        <w:t xml:space="preserve">, to February </w:t>
      </w:r>
      <w:r>
        <w:rPr>
          <w:rFonts w:ascii="Times New Roman" w:hAnsi="Times New Roman"/>
          <w:b w:val="false"/>
          <w:i w:val="false"/>
          <w:strike/>
          <w:color w:val="000000"/>
          <w:sz w:val="24"/>
        </w:rPr>
        <w:t>29, 2028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28, 2033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60.13(5)</w:t>
      </w:r>
      <w:r>
        <w:rPr>
          <w:rFonts w:ascii="Times New Roman" w:hAnsi="Times New Roman"/>
          <w:b w:val="false"/>
          <w:i w:val="false"/>
          <w:color w:val="000000"/>
          <w:sz w:val="24"/>
        </w:rPr>
        <w:t> </w:t>
      </w:r>
      <w:r>
        <w:rPr>
          <w:rFonts w:ascii="Times New Roman" w:hAnsi="Times New Roman"/>
          <w:b w:val="false"/>
          <w:i w:val="false"/>
          <w:color w:val="000000"/>
          <w:sz w:val="24"/>
        </w:rPr>
        <w:t xml:space="preserve">“Discharge from Mining and Processing Facilities,” NPDES General Permit No. 5, effective July 1, </w:t>
      </w:r>
      <w:r>
        <w:rPr>
          <w:rFonts w:ascii="Times New Roman" w:hAnsi="Times New Roman"/>
          <w:b w:val="false"/>
          <w:i w:val="false"/>
          <w:strike/>
          <w:color w:val="000000"/>
          <w:sz w:val="24"/>
        </w:rPr>
        <w:t>2023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2028</w:t>
      </w:r>
      <w:r>
        <w:rPr>
          <w:rFonts w:ascii="Times New Roman" w:hAnsi="Times New Roman"/>
          <w:b w:val="false"/>
          <w:i w:val="false"/>
          <w:color w:val="000000"/>
          <w:sz w:val="24"/>
        </w:rPr>
        <w:t xml:space="preserve">, to June 30, </w:t>
      </w:r>
      <w:r>
        <w:rPr>
          <w:rFonts w:ascii="Times New Roman" w:hAnsi="Times New Roman"/>
          <w:b w:val="false"/>
          <w:i w:val="false"/>
          <w:strike/>
          <w:color w:val="000000"/>
          <w:sz w:val="24"/>
        </w:rPr>
        <w:t>2028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2033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60.13(6)</w:t>
      </w:r>
      <w:r>
        <w:rPr>
          <w:rFonts w:ascii="Times New Roman" w:hAnsi="Times New Roman"/>
          <w:b w:val="false"/>
          <w:i w:val="false"/>
          <w:color w:val="000000"/>
          <w:sz w:val="24"/>
        </w:rPr>
        <w:t> </w:t>
      </w:r>
      <w:r>
        <w:rPr>
          <w:rFonts w:ascii="Times New Roman" w:hAnsi="Times New Roman"/>
          <w:b w:val="false"/>
          <w:i w:val="false"/>
          <w:color w:val="000000"/>
          <w:sz w:val="24"/>
        </w:rPr>
        <w:t xml:space="preserve">“Discharge Associated with Well Construction Activities,” NPDES General Permit No. 6, effective July 1, </w:t>
      </w:r>
      <w:r>
        <w:rPr>
          <w:rFonts w:ascii="Times New Roman" w:hAnsi="Times New Roman"/>
          <w:b w:val="false"/>
          <w:i w:val="false"/>
          <w:strike/>
          <w:color w:val="000000"/>
          <w:sz w:val="24"/>
        </w:rPr>
        <w:t>2023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2028</w:t>
      </w:r>
      <w:r>
        <w:rPr>
          <w:rFonts w:ascii="Times New Roman" w:hAnsi="Times New Roman"/>
          <w:b w:val="false"/>
          <w:i w:val="false"/>
          <w:color w:val="000000"/>
          <w:sz w:val="24"/>
        </w:rPr>
        <w:t xml:space="preserve">, to June 30, </w:t>
      </w:r>
      <w:r>
        <w:rPr>
          <w:rFonts w:ascii="Times New Roman" w:hAnsi="Times New Roman"/>
          <w:b w:val="false"/>
          <w:i w:val="false"/>
          <w:strike/>
          <w:color w:val="000000"/>
          <w:sz w:val="24"/>
        </w:rPr>
        <w:t>2028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2033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60.13(7)</w:t>
      </w:r>
      <w:r>
        <w:rPr>
          <w:rFonts w:ascii="Times New Roman" w:hAnsi="Times New Roman"/>
          <w:b w:val="false"/>
          <w:i w:val="false"/>
          <w:color w:val="000000"/>
          <w:sz w:val="24"/>
        </w:rPr>
        <w:t> </w:t>
      </w:r>
      <w:r>
        <w:rPr>
          <w:rFonts w:ascii="Times New Roman" w:hAnsi="Times New Roman"/>
          <w:b w:val="false"/>
          <w:i w:val="false"/>
          <w:color w:val="000000"/>
          <w:sz w:val="24"/>
        </w:rPr>
        <w:t xml:space="preserve">“Pesticide General Permit (PGP) for Point Source Discharges to Waters of the United States from the Application of Pesticides,” NPDES General Permit No. 7, effective July 1, </w:t>
      </w:r>
      <w:r>
        <w:rPr>
          <w:rFonts w:ascii="Times New Roman" w:hAnsi="Times New Roman"/>
          <w:b w:val="false"/>
          <w:i w:val="false"/>
          <w:strike/>
          <w:color w:val="000000"/>
          <w:sz w:val="24"/>
        </w:rPr>
        <w:t>2023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2028</w:t>
      </w:r>
      <w:r>
        <w:rPr>
          <w:rFonts w:ascii="Times New Roman" w:hAnsi="Times New Roman"/>
          <w:b w:val="false"/>
          <w:i w:val="false"/>
          <w:color w:val="000000"/>
          <w:sz w:val="24"/>
        </w:rPr>
        <w:t xml:space="preserve">, to June 30, </w:t>
      </w:r>
      <w:r>
        <w:rPr>
          <w:rFonts w:ascii="Times New Roman" w:hAnsi="Times New Roman"/>
          <w:b w:val="false"/>
          <w:i w:val="false"/>
          <w:strike/>
          <w:color w:val="000000"/>
          <w:sz w:val="24"/>
        </w:rPr>
        <w:t>2028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2033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60.13(8)</w:t>
      </w:r>
      <w:r>
        <w:rPr>
          <w:rFonts w:ascii="Times New Roman" w:hAnsi="Times New Roman"/>
          <w:b w:val="false"/>
          <w:i w:val="false"/>
          <w:color w:val="000000"/>
          <w:sz w:val="24"/>
        </w:rPr>
        <w:t> </w:t>
      </w:r>
      <w:r>
        <w:rPr>
          <w:rFonts w:ascii="Times New Roman" w:hAnsi="Times New Roman"/>
          <w:b w:val="false"/>
          <w:i w:val="false"/>
          <w:color w:val="000000"/>
          <w:sz w:val="24"/>
        </w:rPr>
        <w:t xml:space="preserve">“Discharge from Hydrostatic Testing, Tank Ballasting and Water Lines,” NPDES General Permit No. 8, effective July 1, </w:t>
      </w:r>
      <w:r>
        <w:rPr>
          <w:rFonts w:ascii="Times New Roman" w:hAnsi="Times New Roman"/>
          <w:b w:val="false"/>
          <w:i w:val="false"/>
          <w:strike/>
          <w:color w:val="000000"/>
          <w:sz w:val="24"/>
        </w:rPr>
        <w:t>2023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2028</w:t>
      </w:r>
      <w:r>
        <w:rPr>
          <w:rFonts w:ascii="Times New Roman" w:hAnsi="Times New Roman"/>
          <w:b w:val="false"/>
          <w:i w:val="false"/>
          <w:color w:val="000000"/>
          <w:sz w:val="24"/>
        </w:rPr>
        <w:t xml:space="preserve">, to June 30, </w:t>
      </w:r>
      <w:r>
        <w:rPr>
          <w:rFonts w:ascii="Times New Roman" w:hAnsi="Times New Roman"/>
          <w:b w:val="false"/>
          <w:i w:val="false"/>
          <w:strike/>
          <w:color w:val="000000"/>
          <w:sz w:val="24"/>
        </w:rPr>
        <w:t>2028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2033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60.13(9)</w:t>
      </w:r>
      <w:r>
        <w:rPr>
          <w:rFonts w:ascii="Times New Roman" w:hAnsi="Times New Roman"/>
          <w:b w:val="false"/>
          <w:i w:val="false"/>
          <w:color w:val="000000"/>
          <w:sz w:val="24"/>
        </w:rPr>
        <w:t> </w:t>
      </w:r>
      <w:r>
        <w:rPr>
          <w:rFonts w:ascii="Times New Roman" w:hAnsi="Times New Roman"/>
          <w:b w:val="false"/>
          <w:i w:val="false"/>
          <w:color w:val="000000"/>
          <w:sz w:val="24"/>
        </w:rPr>
        <w:t xml:space="preserve">“Discharge from Dewatering and Residential Geothermal Systems,” NPDES General Permit No. 9, effective July 1, </w:t>
      </w:r>
      <w:r>
        <w:rPr>
          <w:rFonts w:ascii="Times New Roman" w:hAnsi="Times New Roman"/>
          <w:b w:val="false"/>
          <w:i w:val="false"/>
          <w:strike/>
          <w:color w:val="000000"/>
          <w:sz w:val="24"/>
        </w:rPr>
        <w:t>2023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2028</w:t>
      </w:r>
      <w:r>
        <w:rPr>
          <w:rFonts w:ascii="Times New Roman" w:hAnsi="Times New Roman"/>
          <w:b w:val="false"/>
          <w:i w:val="false"/>
          <w:color w:val="000000"/>
          <w:sz w:val="24"/>
        </w:rPr>
        <w:t xml:space="preserve">, to June 30, </w:t>
      </w:r>
      <w:r>
        <w:rPr>
          <w:rFonts w:ascii="Times New Roman" w:hAnsi="Times New Roman"/>
          <w:b w:val="false"/>
          <w:i w:val="false"/>
          <w:strike/>
          <w:color w:val="000000"/>
          <w:sz w:val="24"/>
        </w:rPr>
        <w:t>2028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2033</w:t>
      </w:r>
      <w:r>
        <w:rPr>
          <w:rFonts w:ascii="Times New Roman" w:hAnsi="Times New Roman"/>
          <w:b w:val="false"/>
          <w:i w:val="false"/>
          <w:color w:val="000000"/>
          <w:sz w:val="24"/>
        </w:rPr>
        <w:t>.</w:t>
      </w:r>
    </w:p>
    <w:p>
      <w:pPr>
        <w:spacing w:before="0" w:after="0" w:line="240"/>
        <w:ind w:left="120"/>
        <w:jc w:val="both"/>
      </w:pP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dnr.gov/environmental-protection/water-quality/wqb-rulemaking" Type="http://schemas.openxmlformats.org/officeDocument/2006/relationships/hyperlink" Id="rId4"/>
    <Relationship TargetMode="External" Target="mailto:civilrights@dnr.iowa.gov" Type="http://schemas.openxmlformats.org/officeDocument/2006/relationships/hyperlink" Id="rId5"/>
    <Relationship TargetMode="External" Target="mailto:civilrights@dnr.iowa.gov" Type="http://schemas.openxmlformats.org/officeDocument/2006/relationships/hyperlink" Id="rId6"/>
    <Relationship TargetMode="External" Target="mailto:npdes.mail@dnr.iowa.gov" Type="http://schemas.openxmlformats.org/officeDocument/2006/relationships/hyperlink" Id="rId7"/>
    <Relationship TargetMode="External" Target="mailto:civilrights@dnr.iowa.gov" Type="http://schemas.openxmlformats.org/officeDocument/2006/relationships/hyperlink" Id="rId8"/>
    <Relationship TargetMode="External" Target="mailto:civilrights@dnr.iowa.gov" Type="http://schemas.openxmlformats.org/officeDocument/2006/relationships/hyperlink" Id="rId9"/>
    <Relationship TargetMode="External" Target="http://www.iowadnr.gov/environmental-protection/water-quality/wqb-rulemaking" Type="http://schemas.openxmlformats.org/officeDocument/2006/relationships/hyperlink" Id="rId10"/>
    <Relationship TargetMode="External" Target="https://www.legis.iowa.gov/docs/ico/chapter/17A.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